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96BA3" w14:textId="5F2D967F" w:rsidR="00CC06F3" w:rsidRPr="00D01544" w:rsidRDefault="00E61951" w:rsidP="00AA150F">
      <w:pPr>
        <w:pStyle w:val="Title"/>
      </w:pPr>
      <w:r w:rsidRPr="00D01544">
        <w:t xml:space="preserve">Former </w:t>
      </w:r>
      <w:r w:rsidR="008F26B4" w:rsidRPr="00D01544">
        <w:t>T</w:t>
      </w:r>
      <w:r w:rsidRPr="00D01544">
        <w:t xml:space="preserve">enant </w:t>
      </w:r>
      <w:r w:rsidR="008F26B4" w:rsidRPr="00D01544">
        <w:t>A</w:t>
      </w:r>
      <w:r w:rsidRPr="00D01544">
        <w:t xml:space="preserve">rrears </w:t>
      </w:r>
      <w:r w:rsidR="008F26B4" w:rsidRPr="00D01544">
        <w:t>P</w:t>
      </w:r>
      <w:r w:rsidRPr="00D01544">
        <w:t>olicy</w:t>
      </w:r>
    </w:p>
    <w:p w14:paraId="5BD33C62" w14:textId="77777777" w:rsidR="00AA150F" w:rsidRDefault="00AA150F" w:rsidP="00AA150F"/>
    <w:p w14:paraId="51C0524B" w14:textId="77777777" w:rsidR="00AA150F" w:rsidRDefault="00AA150F" w:rsidP="00AA150F">
      <w:pPr>
        <w:pStyle w:val="Heading1"/>
        <w:numPr>
          <w:ilvl w:val="0"/>
          <w:numId w:val="1"/>
        </w:numPr>
      </w:pPr>
      <w:r>
        <w:t>Introduction</w:t>
      </w:r>
    </w:p>
    <w:p w14:paraId="5A21E727" w14:textId="77777777" w:rsidR="00AA150F" w:rsidRPr="001B4DFB" w:rsidRDefault="00E61951" w:rsidP="00E61951">
      <w:pPr>
        <w:numPr>
          <w:ilvl w:val="1"/>
          <w:numId w:val="1"/>
        </w:numPr>
        <w:spacing w:after="0" w:line="240" w:lineRule="auto"/>
        <w:rPr>
          <w:rFonts w:ascii="Arial" w:hAnsi="Arial" w:cs="Arial"/>
          <w:sz w:val="24"/>
          <w:szCs w:val="24"/>
        </w:rPr>
      </w:pPr>
      <w:r w:rsidRPr="001B4DFB">
        <w:rPr>
          <w:rFonts w:ascii="Arial" w:hAnsi="Arial" w:cs="Arial"/>
          <w:sz w:val="24"/>
          <w:szCs w:val="24"/>
        </w:rPr>
        <w:t>This policy sets out how Medway Council Landlord Services collects and manages Former Tenant Arrears (FTA’s).</w:t>
      </w:r>
    </w:p>
    <w:p w14:paraId="61ADB030" w14:textId="77777777" w:rsidR="00E61951" w:rsidRDefault="00AA150F" w:rsidP="00E61951">
      <w:pPr>
        <w:pStyle w:val="Heading1"/>
        <w:numPr>
          <w:ilvl w:val="0"/>
          <w:numId w:val="1"/>
        </w:numPr>
      </w:pPr>
      <w:r>
        <w:t>Purpose</w:t>
      </w:r>
    </w:p>
    <w:p w14:paraId="5F4D064A" w14:textId="77777777" w:rsidR="00E61951" w:rsidRPr="001B4DFB" w:rsidRDefault="00E61951" w:rsidP="00E61951">
      <w:pPr>
        <w:pStyle w:val="ListParagraph"/>
        <w:numPr>
          <w:ilvl w:val="1"/>
          <w:numId w:val="5"/>
        </w:numPr>
        <w:rPr>
          <w:rFonts w:ascii="Arial" w:hAnsi="Arial" w:cs="Arial"/>
          <w:sz w:val="24"/>
          <w:szCs w:val="24"/>
        </w:rPr>
      </w:pPr>
      <w:r w:rsidRPr="001B4DFB">
        <w:rPr>
          <w:rFonts w:ascii="Arial" w:hAnsi="Arial" w:cs="Arial"/>
          <w:sz w:val="24"/>
          <w:szCs w:val="24"/>
        </w:rPr>
        <w:t>The purpose of the Former Tenant Arrears policy is to:</w:t>
      </w:r>
    </w:p>
    <w:p w14:paraId="28F73175" w14:textId="77777777" w:rsidR="00E61951" w:rsidRPr="001B4DFB" w:rsidRDefault="00E61951" w:rsidP="00E61951">
      <w:pPr>
        <w:pStyle w:val="ListParagraph"/>
        <w:numPr>
          <w:ilvl w:val="2"/>
          <w:numId w:val="5"/>
        </w:numPr>
        <w:rPr>
          <w:rFonts w:ascii="Arial" w:hAnsi="Arial" w:cs="Arial"/>
          <w:sz w:val="24"/>
          <w:szCs w:val="24"/>
        </w:rPr>
      </w:pPr>
      <w:r w:rsidRPr="001B4DFB">
        <w:rPr>
          <w:rFonts w:ascii="Arial" w:hAnsi="Arial" w:cs="Arial"/>
          <w:sz w:val="24"/>
          <w:szCs w:val="24"/>
        </w:rPr>
        <w:t>maximise income and sustain the HRA Business Plan;</w:t>
      </w:r>
    </w:p>
    <w:p w14:paraId="2E31108C" w14:textId="77777777" w:rsidR="00AA150F" w:rsidRPr="001B4DFB" w:rsidRDefault="00E61951" w:rsidP="001B4DFB">
      <w:pPr>
        <w:pStyle w:val="ListParagraph"/>
        <w:numPr>
          <w:ilvl w:val="2"/>
          <w:numId w:val="5"/>
        </w:numPr>
        <w:rPr>
          <w:rFonts w:ascii="Arial" w:hAnsi="Arial" w:cs="Arial"/>
          <w:sz w:val="24"/>
          <w:szCs w:val="24"/>
        </w:rPr>
      </w:pPr>
      <w:r w:rsidRPr="001B4DFB">
        <w:rPr>
          <w:rFonts w:ascii="Arial" w:hAnsi="Arial" w:cs="Arial"/>
          <w:sz w:val="24"/>
          <w:szCs w:val="24"/>
        </w:rPr>
        <w:t xml:space="preserve">manage FTA’s consistently and prevent ‘bad debt’ remaining on </w:t>
      </w:r>
      <w:proofErr w:type="gramStart"/>
      <w:r w:rsidRPr="001B4DFB">
        <w:rPr>
          <w:rFonts w:ascii="Arial" w:hAnsi="Arial" w:cs="Arial"/>
          <w:sz w:val="24"/>
          <w:szCs w:val="24"/>
        </w:rPr>
        <w:t>tenants</w:t>
      </w:r>
      <w:proofErr w:type="gramEnd"/>
      <w:r w:rsidRPr="001B4DFB">
        <w:rPr>
          <w:rFonts w:ascii="Arial" w:hAnsi="Arial" w:cs="Arial"/>
          <w:sz w:val="24"/>
          <w:szCs w:val="24"/>
        </w:rPr>
        <w:t xml:space="preserve"> accounts.</w:t>
      </w:r>
    </w:p>
    <w:p w14:paraId="2B54A9CC" w14:textId="77777777" w:rsidR="00AA150F" w:rsidRDefault="00AA150F" w:rsidP="00AA150F">
      <w:pPr>
        <w:pStyle w:val="Heading1"/>
        <w:numPr>
          <w:ilvl w:val="0"/>
          <w:numId w:val="1"/>
        </w:numPr>
      </w:pPr>
      <w:r>
        <w:t>Scope</w:t>
      </w:r>
    </w:p>
    <w:p w14:paraId="6A02AFE7" w14:textId="77777777" w:rsidR="00E61951" w:rsidRDefault="00E61951" w:rsidP="00E61951">
      <w:pPr>
        <w:pStyle w:val="BodyText"/>
        <w:numPr>
          <w:ilvl w:val="1"/>
          <w:numId w:val="1"/>
        </w:numPr>
        <w:jc w:val="left"/>
      </w:pPr>
      <w:r w:rsidRPr="004E3D0D">
        <w:t>This policy applies to</w:t>
      </w:r>
      <w:r>
        <w:t>:</w:t>
      </w:r>
      <w:r w:rsidRPr="004E3D0D">
        <w:t xml:space="preserve"> </w:t>
      </w:r>
    </w:p>
    <w:p w14:paraId="042324FC" w14:textId="77777777" w:rsidR="00E61951" w:rsidRDefault="00E61951" w:rsidP="00E61951">
      <w:pPr>
        <w:pStyle w:val="BodyText"/>
        <w:numPr>
          <w:ilvl w:val="2"/>
          <w:numId w:val="1"/>
        </w:numPr>
        <w:jc w:val="left"/>
      </w:pPr>
      <w:r w:rsidRPr="004E3D0D">
        <w:t>Medway Cou</w:t>
      </w:r>
      <w:r>
        <w:t xml:space="preserve">ncil Landlord Services </w:t>
      </w:r>
      <w:proofErr w:type="gramStart"/>
      <w:r>
        <w:t>employees;</w:t>
      </w:r>
      <w:proofErr w:type="gramEnd"/>
    </w:p>
    <w:p w14:paraId="534E98E2" w14:textId="77777777" w:rsidR="00E61951" w:rsidRDefault="00E61951" w:rsidP="00E61951">
      <w:pPr>
        <w:pStyle w:val="BodyText"/>
        <w:numPr>
          <w:ilvl w:val="2"/>
          <w:numId w:val="1"/>
        </w:numPr>
        <w:jc w:val="left"/>
      </w:pPr>
      <w:r>
        <w:t>C</w:t>
      </w:r>
      <w:r w:rsidRPr="004E3D0D">
        <w:t>urrent</w:t>
      </w:r>
      <w:r>
        <w:t>/former</w:t>
      </w:r>
      <w:r w:rsidRPr="004E3D0D">
        <w:t xml:space="preserve"> tenants</w:t>
      </w:r>
      <w:r>
        <w:t xml:space="preserve"> of </w:t>
      </w:r>
      <w:r w:rsidRPr="004E3D0D">
        <w:t>HRA</w:t>
      </w:r>
      <w:r>
        <w:t xml:space="preserve"> managed residential </w:t>
      </w:r>
      <w:proofErr w:type="gramStart"/>
      <w:r>
        <w:t>properties;</w:t>
      </w:r>
      <w:proofErr w:type="gramEnd"/>
    </w:p>
    <w:p w14:paraId="094BFEEE" w14:textId="77777777" w:rsidR="00E61951" w:rsidRPr="00962DA7" w:rsidRDefault="00E61951" w:rsidP="00E61951">
      <w:pPr>
        <w:pStyle w:val="BodyText"/>
        <w:numPr>
          <w:ilvl w:val="2"/>
          <w:numId w:val="1"/>
        </w:numPr>
        <w:jc w:val="left"/>
      </w:pPr>
      <w:r>
        <w:t>P</w:t>
      </w:r>
      <w:r w:rsidRPr="00147515">
        <w:t xml:space="preserve">artners </w:t>
      </w:r>
      <w:r>
        <w:t xml:space="preserve">to which </w:t>
      </w:r>
      <w:r w:rsidRPr="00147515">
        <w:t>Medway Council</w:t>
      </w:r>
      <w:r>
        <w:t xml:space="preserve"> </w:t>
      </w:r>
      <w:r w:rsidRPr="00147515">
        <w:t>refer</w:t>
      </w:r>
      <w:r>
        <w:t>s</w:t>
      </w:r>
      <w:r w:rsidRPr="00147515">
        <w:t xml:space="preserve"> former tenants’ debt</w:t>
      </w:r>
      <w:r>
        <w:t>.</w:t>
      </w:r>
    </w:p>
    <w:p w14:paraId="437FA85C" w14:textId="77777777" w:rsidR="00E61951" w:rsidRPr="00AA6309" w:rsidRDefault="00E61951" w:rsidP="00E61951">
      <w:pPr>
        <w:rPr>
          <w:sz w:val="16"/>
        </w:rPr>
      </w:pPr>
    </w:p>
    <w:p w14:paraId="136A983B" w14:textId="77777777" w:rsidR="00E61951" w:rsidRDefault="00E61951" w:rsidP="00E61951">
      <w:pPr>
        <w:pStyle w:val="BodyText"/>
        <w:numPr>
          <w:ilvl w:val="1"/>
          <w:numId w:val="1"/>
        </w:numPr>
        <w:jc w:val="left"/>
      </w:pPr>
      <w:r w:rsidRPr="00147515">
        <w:t xml:space="preserve">The policy relates to rent, service charges and sundry debts </w:t>
      </w:r>
      <w:r>
        <w:t>ow</w:t>
      </w:r>
      <w:r w:rsidRPr="00147515">
        <w:t xml:space="preserve">ed to Medway Council </w:t>
      </w:r>
      <w:r>
        <w:t xml:space="preserve">on </w:t>
      </w:r>
      <w:r w:rsidRPr="00147515">
        <w:t>residential properties and garages.</w:t>
      </w:r>
    </w:p>
    <w:p w14:paraId="7B5EDBDB" w14:textId="77777777" w:rsidR="00AA150F" w:rsidRDefault="00AA150F" w:rsidP="00AA150F">
      <w:pPr>
        <w:pStyle w:val="Heading1"/>
        <w:numPr>
          <w:ilvl w:val="0"/>
          <w:numId w:val="1"/>
        </w:numPr>
      </w:pPr>
      <w:r>
        <w:t>Legislation and Guidance</w:t>
      </w:r>
    </w:p>
    <w:p w14:paraId="01256B41" w14:textId="77777777" w:rsidR="00E61951" w:rsidRPr="001B4DFB" w:rsidRDefault="00E61951" w:rsidP="00E61951">
      <w:pPr>
        <w:pStyle w:val="BodyText"/>
        <w:numPr>
          <w:ilvl w:val="1"/>
          <w:numId w:val="1"/>
        </w:numPr>
        <w:jc w:val="left"/>
        <w:rPr>
          <w:b/>
        </w:rPr>
      </w:pPr>
      <w:r w:rsidRPr="001B4DFB">
        <w:rPr>
          <w:b/>
        </w:rPr>
        <w:t>External</w:t>
      </w:r>
    </w:p>
    <w:p w14:paraId="1390587C" w14:textId="77777777" w:rsidR="00E61951" w:rsidRPr="001B4DFB" w:rsidRDefault="00E61951" w:rsidP="00E61951">
      <w:pPr>
        <w:numPr>
          <w:ilvl w:val="2"/>
          <w:numId w:val="1"/>
        </w:numPr>
        <w:tabs>
          <w:tab w:val="left" w:pos="900"/>
          <w:tab w:val="left" w:pos="1080"/>
        </w:tabs>
        <w:autoSpaceDE w:val="0"/>
        <w:autoSpaceDN w:val="0"/>
        <w:adjustRightInd w:val="0"/>
        <w:spacing w:after="0" w:line="240" w:lineRule="auto"/>
        <w:rPr>
          <w:rFonts w:ascii="Arial" w:hAnsi="Arial" w:cs="Arial"/>
          <w:sz w:val="24"/>
          <w:szCs w:val="24"/>
          <w:lang w:val="en-US"/>
        </w:rPr>
      </w:pPr>
      <w:r w:rsidRPr="001B4DFB">
        <w:rPr>
          <w:rFonts w:ascii="Arial" w:hAnsi="Arial" w:cs="Arial"/>
          <w:sz w:val="24"/>
          <w:szCs w:val="24"/>
          <w:lang w:val="en-US"/>
        </w:rPr>
        <w:t>Housing Act 1985</w:t>
      </w:r>
    </w:p>
    <w:p w14:paraId="239F458C" w14:textId="77777777" w:rsidR="00E61951" w:rsidRPr="001B4DFB" w:rsidRDefault="00E61951" w:rsidP="00E61951">
      <w:pPr>
        <w:numPr>
          <w:ilvl w:val="2"/>
          <w:numId w:val="1"/>
        </w:numPr>
        <w:tabs>
          <w:tab w:val="left" w:pos="900"/>
          <w:tab w:val="left" w:pos="1080"/>
        </w:tabs>
        <w:autoSpaceDE w:val="0"/>
        <w:autoSpaceDN w:val="0"/>
        <w:adjustRightInd w:val="0"/>
        <w:spacing w:after="0" w:line="240" w:lineRule="auto"/>
        <w:rPr>
          <w:rFonts w:ascii="Arial" w:hAnsi="Arial" w:cs="Arial"/>
          <w:sz w:val="24"/>
          <w:szCs w:val="24"/>
          <w:lang w:val="en-US"/>
        </w:rPr>
      </w:pPr>
      <w:r w:rsidRPr="001B4DFB">
        <w:rPr>
          <w:rFonts w:ascii="Arial" w:hAnsi="Arial" w:cs="Arial"/>
          <w:sz w:val="24"/>
          <w:szCs w:val="24"/>
          <w:lang w:val="en-US"/>
        </w:rPr>
        <w:t>Protection from Eviction Act 1977</w:t>
      </w:r>
    </w:p>
    <w:p w14:paraId="303BC931" w14:textId="77777777" w:rsidR="00E61951" w:rsidRPr="001B4DFB" w:rsidRDefault="00E61951" w:rsidP="00E61951">
      <w:pPr>
        <w:numPr>
          <w:ilvl w:val="2"/>
          <w:numId w:val="1"/>
        </w:numPr>
        <w:tabs>
          <w:tab w:val="left" w:pos="900"/>
          <w:tab w:val="left" w:pos="1080"/>
        </w:tabs>
        <w:autoSpaceDE w:val="0"/>
        <w:autoSpaceDN w:val="0"/>
        <w:adjustRightInd w:val="0"/>
        <w:spacing w:after="0" w:line="240" w:lineRule="auto"/>
        <w:rPr>
          <w:rFonts w:ascii="Arial" w:hAnsi="Arial" w:cs="Arial"/>
          <w:sz w:val="24"/>
          <w:szCs w:val="24"/>
          <w:lang w:val="en-US"/>
        </w:rPr>
      </w:pPr>
      <w:r w:rsidRPr="001B4DFB">
        <w:rPr>
          <w:rFonts w:ascii="Arial" w:hAnsi="Arial" w:cs="Arial"/>
          <w:sz w:val="24"/>
          <w:szCs w:val="24"/>
          <w:lang w:val="en-US"/>
        </w:rPr>
        <w:t>Landlord and Tenant Act 1987</w:t>
      </w:r>
    </w:p>
    <w:p w14:paraId="00A216E9" w14:textId="77777777" w:rsidR="00E61951" w:rsidRPr="001B4DFB" w:rsidRDefault="00E61951" w:rsidP="00E61951">
      <w:pPr>
        <w:numPr>
          <w:ilvl w:val="2"/>
          <w:numId w:val="1"/>
        </w:numPr>
        <w:tabs>
          <w:tab w:val="left" w:pos="900"/>
          <w:tab w:val="left" w:pos="1080"/>
        </w:tabs>
        <w:autoSpaceDE w:val="0"/>
        <w:autoSpaceDN w:val="0"/>
        <w:adjustRightInd w:val="0"/>
        <w:spacing w:after="0" w:line="240" w:lineRule="auto"/>
        <w:rPr>
          <w:rFonts w:ascii="Arial" w:hAnsi="Arial" w:cs="Arial"/>
          <w:sz w:val="24"/>
          <w:szCs w:val="24"/>
          <w:lang w:val="en-US"/>
        </w:rPr>
      </w:pPr>
      <w:r w:rsidRPr="001B4DFB">
        <w:rPr>
          <w:rFonts w:ascii="Arial" w:hAnsi="Arial" w:cs="Arial"/>
          <w:sz w:val="24"/>
          <w:szCs w:val="24"/>
          <w:lang w:val="en-US"/>
        </w:rPr>
        <w:t>Civil Procedure Rules 2019</w:t>
      </w:r>
    </w:p>
    <w:p w14:paraId="6555AA04" w14:textId="77777777" w:rsidR="00E61951" w:rsidRPr="001B4DFB" w:rsidRDefault="00E61951" w:rsidP="00E61951">
      <w:pPr>
        <w:numPr>
          <w:ilvl w:val="2"/>
          <w:numId w:val="1"/>
        </w:numPr>
        <w:tabs>
          <w:tab w:val="left" w:pos="900"/>
          <w:tab w:val="left" w:pos="1080"/>
        </w:tabs>
        <w:autoSpaceDE w:val="0"/>
        <w:autoSpaceDN w:val="0"/>
        <w:adjustRightInd w:val="0"/>
        <w:spacing w:after="0" w:line="240" w:lineRule="auto"/>
        <w:rPr>
          <w:rFonts w:ascii="Arial" w:hAnsi="Arial" w:cs="Arial"/>
          <w:sz w:val="24"/>
          <w:szCs w:val="24"/>
          <w:lang w:val="en-US"/>
        </w:rPr>
      </w:pPr>
      <w:r w:rsidRPr="001B4DFB">
        <w:rPr>
          <w:rFonts w:ascii="Arial" w:hAnsi="Arial" w:cs="Arial"/>
          <w:sz w:val="24"/>
          <w:szCs w:val="24"/>
          <w:lang w:val="en-US"/>
        </w:rPr>
        <w:t>County Court Act 1984</w:t>
      </w:r>
    </w:p>
    <w:p w14:paraId="22685AF2" w14:textId="77777777" w:rsidR="00E61951" w:rsidRPr="001B4DFB" w:rsidRDefault="00E61951" w:rsidP="00E61951">
      <w:pPr>
        <w:numPr>
          <w:ilvl w:val="2"/>
          <w:numId w:val="1"/>
        </w:numPr>
        <w:tabs>
          <w:tab w:val="left" w:pos="900"/>
          <w:tab w:val="left" w:pos="1080"/>
        </w:tabs>
        <w:autoSpaceDE w:val="0"/>
        <w:autoSpaceDN w:val="0"/>
        <w:adjustRightInd w:val="0"/>
        <w:spacing w:after="0" w:line="240" w:lineRule="auto"/>
        <w:rPr>
          <w:rFonts w:ascii="Arial" w:hAnsi="Arial" w:cs="Arial"/>
          <w:sz w:val="24"/>
          <w:szCs w:val="24"/>
          <w:lang w:val="en-US"/>
        </w:rPr>
      </w:pPr>
      <w:r w:rsidRPr="001B4DFB">
        <w:rPr>
          <w:rFonts w:ascii="Arial" w:hAnsi="Arial" w:cs="Arial"/>
          <w:sz w:val="24"/>
          <w:szCs w:val="24"/>
          <w:lang w:val="en-US"/>
        </w:rPr>
        <w:t>Human Rights Act 1998</w:t>
      </w:r>
    </w:p>
    <w:p w14:paraId="1875CA70" w14:textId="77777777" w:rsidR="00E61951" w:rsidRPr="001B4DFB" w:rsidRDefault="00E61951" w:rsidP="00E61951">
      <w:pPr>
        <w:numPr>
          <w:ilvl w:val="2"/>
          <w:numId w:val="1"/>
        </w:numPr>
        <w:tabs>
          <w:tab w:val="left" w:pos="900"/>
          <w:tab w:val="left" w:pos="1080"/>
        </w:tabs>
        <w:autoSpaceDE w:val="0"/>
        <w:autoSpaceDN w:val="0"/>
        <w:adjustRightInd w:val="0"/>
        <w:spacing w:after="0" w:line="240" w:lineRule="auto"/>
        <w:rPr>
          <w:rFonts w:ascii="Arial" w:hAnsi="Arial" w:cs="Arial"/>
          <w:sz w:val="24"/>
          <w:szCs w:val="24"/>
          <w:lang w:val="en-US"/>
        </w:rPr>
      </w:pPr>
      <w:r w:rsidRPr="001B4DFB">
        <w:rPr>
          <w:rFonts w:ascii="Arial" w:hAnsi="Arial" w:cs="Arial"/>
          <w:sz w:val="24"/>
          <w:szCs w:val="24"/>
          <w:lang w:val="en-US"/>
        </w:rPr>
        <w:t>Equalities Act 2010</w:t>
      </w:r>
    </w:p>
    <w:p w14:paraId="79E3D9F7" w14:textId="77777777" w:rsidR="00E61951" w:rsidRPr="001B4DFB" w:rsidRDefault="00E61951" w:rsidP="00E61951">
      <w:pPr>
        <w:numPr>
          <w:ilvl w:val="2"/>
          <w:numId w:val="1"/>
        </w:numPr>
        <w:tabs>
          <w:tab w:val="left" w:pos="900"/>
          <w:tab w:val="left" w:pos="1080"/>
        </w:tabs>
        <w:autoSpaceDE w:val="0"/>
        <w:autoSpaceDN w:val="0"/>
        <w:adjustRightInd w:val="0"/>
        <w:spacing w:after="0" w:line="240" w:lineRule="auto"/>
        <w:rPr>
          <w:rFonts w:ascii="Arial" w:hAnsi="Arial" w:cs="Arial"/>
          <w:sz w:val="24"/>
          <w:szCs w:val="24"/>
        </w:rPr>
      </w:pPr>
      <w:r w:rsidRPr="001B4DFB">
        <w:rPr>
          <w:rFonts w:ascii="Arial" w:hAnsi="Arial" w:cs="Arial"/>
          <w:sz w:val="24"/>
          <w:szCs w:val="24"/>
          <w:lang w:val="en-US"/>
        </w:rPr>
        <w:t>General Data Protection Regulation (GDPR) 2018</w:t>
      </w:r>
    </w:p>
    <w:p w14:paraId="352DCA2C" w14:textId="77777777" w:rsidR="00E61951" w:rsidRPr="001B4DFB" w:rsidRDefault="00E61951" w:rsidP="00E61951">
      <w:pPr>
        <w:numPr>
          <w:ilvl w:val="2"/>
          <w:numId w:val="1"/>
        </w:numPr>
        <w:tabs>
          <w:tab w:val="left" w:pos="900"/>
          <w:tab w:val="left" w:pos="1080"/>
        </w:tabs>
        <w:autoSpaceDE w:val="0"/>
        <w:autoSpaceDN w:val="0"/>
        <w:adjustRightInd w:val="0"/>
        <w:spacing w:after="0" w:line="240" w:lineRule="auto"/>
        <w:rPr>
          <w:rFonts w:ascii="Arial" w:hAnsi="Arial" w:cs="Arial"/>
          <w:sz w:val="24"/>
          <w:szCs w:val="24"/>
        </w:rPr>
      </w:pPr>
      <w:r w:rsidRPr="001B4DFB">
        <w:rPr>
          <w:rFonts w:ascii="Arial" w:hAnsi="Arial" w:cs="Arial"/>
          <w:sz w:val="24"/>
          <w:szCs w:val="24"/>
          <w:lang w:val="en-US"/>
        </w:rPr>
        <w:t>The Limitation Act 1980</w:t>
      </w:r>
    </w:p>
    <w:p w14:paraId="38B1D420" w14:textId="77777777" w:rsidR="00E61951" w:rsidRPr="001B4DFB" w:rsidRDefault="00E61951" w:rsidP="00E61951">
      <w:pPr>
        <w:autoSpaceDE w:val="0"/>
        <w:autoSpaceDN w:val="0"/>
        <w:adjustRightInd w:val="0"/>
        <w:ind w:left="900"/>
        <w:rPr>
          <w:rFonts w:ascii="Arial" w:hAnsi="Arial" w:cs="Arial"/>
          <w:sz w:val="24"/>
          <w:szCs w:val="24"/>
        </w:rPr>
      </w:pPr>
    </w:p>
    <w:p w14:paraId="192396CF" w14:textId="77777777" w:rsidR="00E61951" w:rsidRPr="001B4DFB" w:rsidRDefault="00E61951" w:rsidP="00E61951">
      <w:pPr>
        <w:numPr>
          <w:ilvl w:val="1"/>
          <w:numId w:val="1"/>
        </w:numPr>
        <w:autoSpaceDE w:val="0"/>
        <w:autoSpaceDN w:val="0"/>
        <w:adjustRightInd w:val="0"/>
        <w:spacing w:after="0" w:line="240" w:lineRule="auto"/>
        <w:rPr>
          <w:rFonts w:ascii="Arial" w:hAnsi="Arial" w:cs="Arial"/>
          <w:b/>
          <w:sz w:val="24"/>
          <w:szCs w:val="24"/>
        </w:rPr>
      </w:pPr>
      <w:r w:rsidRPr="001B4DFB">
        <w:rPr>
          <w:rFonts w:ascii="Arial" w:hAnsi="Arial" w:cs="Arial"/>
          <w:b/>
          <w:sz w:val="24"/>
          <w:szCs w:val="24"/>
          <w:lang w:val="en-US"/>
        </w:rPr>
        <w:t>Internal</w:t>
      </w:r>
    </w:p>
    <w:p w14:paraId="055D4C1C" w14:textId="77777777" w:rsidR="00E61951" w:rsidRPr="001B4DFB" w:rsidRDefault="00E61951" w:rsidP="00E61951">
      <w:pPr>
        <w:numPr>
          <w:ilvl w:val="2"/>
          <w:numId w:val="1"/>
        </w:numPr>
        <w:tabs>
          <w:tab w:val="left" w:pos="900"/>
        </w:tabs>
        <w:autoSpaceDE w:val="0"/>
        <w:autoSpaceDN w:val="0"/>
        <w:adjustRightInd w:val="0"/>
        <w:spacing w:after="0" w:line="240" w:lineRule="auto"/>
        <w:rPr>
          <w:rFonts w:ascii="Arial" w:hAnsi="Arial" w:cs="Arial"/>
          <w:sz w:val="24"/>
          <w:szCs w:val="24"/>
          <w:lang w:val="en-US"/>
        </w:rPr>
      </w:pPr>
      <w:r w:rsidRPr="001B4DFB">
        <w:rPr>
          <w:rFonts w:ascii="Arial" w:hAnsi="Arial" w:cs="Arial"/>
          <w:sz w:val="24"/>
          <w:szCs w:val="24"/>
          <w:lang w:val="en-US"/>
        </w:rPr>
        <w:t xml:space="preserve">Medway Council Tenancy Agreement(s) </w:t>
      </w:r>
    </w:p>
    <w:p w14:paraId="673D7788" w14:textId="77777777" w:rsidR="00AA150F" w:rsidRDefault="00AA150F" w:rsidP="00AA150F">
      <w:pPr>
        <w:pStyle w:val="Heading1"/>
        <w:numPr>
          <w:ilvl w:val="0"/>
          <w:numId w:val="1"/>
        </w:numPr>
      </w:pPr>
      <w:r>
        <w:t>Policy</w:t>
      </w:r>
    </w:p>
    <w:p w14:paraId="3C1F8070" w14:textId="77777777" w:rsidR="00E61951" w:rsidRPr="00CF32E0" w:rsidRDefault="00E61951" w:rsidP="001B4DFB">
      <w:pPr>
        <w:pStyle w:val="Heading2"/>
        <w:rPr>
          <w:rFonts w:cs="Arial"/>
          <w:bCs/>
        </w:rPr>
      </w:pPr>
      <w:r w:rsidRPr="00CF32E0">
        <w:t xml:space="preserve">Current Tenants with </w:t>
      </w:r>
      <w:r>
        <w:t>former tenant arrears (</w:t>
      </w:r>
      <w:r w:rsidRPr="00CF32E0">
        <w:t>FTA</w:t>
      </w:r>
      <w:r>
        <w:t>’</w:t>
      </w:r>
      <w:r w:rsidRPr="00CF32E0">
        <w:t>s</w:t>
      </w:r>
      <w:r>
        <w:t>)</w:t>
      </w:r>
    </w:p>
    <w:p w14:paraId="1F8F0EF9" w14:textId="77777777" w:rsidR="00E61951" w:rsidRDefault="00E61951" w:rsidP="00E61951">
      <w:pPr>
        <w:pStyle w:val="BodyText"/>
        <w:numPr>
          <w:ilvl w:val="1"/>
          <w:numId w:val="1"/>
        </w:numPr>
        <w:jc w:val="left"/>
      </w:pPr>
      <w:r w:rsidRPr="00F40CAB">
        <w:t xml:space="preserve">The </w:t>
      </w:r>
      <w:r>
        <w:t>C</w:t>
      </w:r>
      <w:r w:rsidRPr="00F40CAB">
        <w:t xml:space="preserve">ouncil </w:t>
      </w:r>
      <w:r>
        <w:t>does</w:t>
      </w:r>
      <w:r w:rsidRPr="00F40CAB">
        <w:t xml:space="preserve"> not allow tenants to transfer within our stock if they owe debt unless exceptional circumstances apply. </w:t>
      </w:r>
      <w:r>
        <w:t>An e</w:t>
      </w:r>
      <w:r w:rsidRPr="00F40CAB">
        <w:t>xceptional circumstance may be the police or social services’ informing us someone in the household is at risk if they are unable to transfer.</w:t>
      </w:r>
    </w:p>
    <w:p w14:paraId="4E3E2878" w14:textId="77777777" w:rsidR="00E61951" w:rsidRPr="00AF2940" w:rsidRDefault="00E61951" w:rsidP="00E61951">
      <w:pPr>
        <w:pStyle w:val="BodyText"/>
        <w:ind w:left="720"/>
        <w:jc w:val="left"/>
        <w:rPr>
          <w:sz w:val="16"/>
        </w:rPr>
      </w:pPr>
    </w:p>
    <w:p w14:paraId="41A35E68" w14:textId="77777777" w:rsidR="00E61951" w:rsidRPr="00F40CAB" w:rsidRDefault="00E61951" w:rsidP="00E61951">
      <w:pPr>
        <w:pStyle w:val="BodyText"/>
        <w:numPr>
          <w:ilvl w:val="1"/>
          <w:numId w:val="1"/>
        </w:numPr>
        <w:jc w:val="left"/>
      </w:pPr>
      <w:r w:rsidRPr="00F40CAB">
        <w:t xml:space="preserve">Senior Officers review cases with ‘exceptional </w:t>
      </w:r>
      <w:proofErr w:type="gramStart"/>
      <w:r w:rsidRPr="00F40CAB">
        <w:t>circumstances’</w:t>
      </w:r>
      <w:proofErr w:type="gramEnd"/>
      <w:r w:rsidRPr="00F40CAB">
        <w:t>.</w:t>
      </w:r>
    </w:p>
    <w:p w14:paraId="33699B51" w14:textId="77777777" w:rsidR="00E61951" w:rsidRPr="00AF2940" w:rsidRDefault="00E61951" w:rsidP="00E61951">
      <w:pPr>
        <w:pStyle w:val="BodyText"/>
        <w:jc w:val="left"/>
        <w:rPr>
          <w:sz w:val="16"/>
        </w:rPr>
      </w:pPr>
    </w:p>
    <w:p w14:paraId="75783C9A" w14:textId="77777777" w:rsidR="00E61951" w:rsidRDefault="00E61951" w:rsidP="00E61951">
      <w:pPr>
        <w:pStyle w:val="BodyText"/>
        <w:numPr>
          <w:ilvl w:val="1"/>
          <w:numId w:val="1"/>
        </w:numPr>
        <w:jc w:val="left"/>
      </w:pPr>
      <w:r>
        <w:lastRenderedPageBreak/>
        <w:t xml:space="preserve">If a transfer for a tenant in arrears is approved, repaying the FTA will be made a condition of the new tenancy </w:t>
      </w:r>
      <w:r w:rsidRPr="00996522">
        <w:t xml:space="preserve">Tenants will be informed of this and </w:t>
      </w:r>
      <w:r>
        <w:t xml:space="preserve">must sign up to </w:t>
      </w:r>
      <w:r w:rsidRPr="00996522">
        <w:t xml:space="preserve">a payment </w:t>
      </w:r>
      <w:r>
        <w:t>plan for the FTA before the move can take place.</w:t>
      </w:r>
    </w:p>
    <w:p w14:paraId="20B9D968" w14:textId="77777777" w:rsidR="00E61951" w:rsidRPr="00AA6309" w:rsidRDefault="00E61951" w:rsidP="00E61951">
      <w:pPr>
        <w:pStyle w:val="BodyText"/>
        <w:ind w:left="720"/>
        <w:jc w:val="left"/>
        <w:rPr>
          <w:sz w:val="16"/>
        </w:rPr>
      </w:pPr>
    </w:p>
    <w:p w14:paraId="14D62F32" w14:textId="77777777" w:rsidR="00E61951" w:rsidRPr="000D6119" w:rsidRDefault="00E61951" w:rsidP="00E61951">
      <w:pPr>
        <w:pStyle w:val="BodyText"/>
        <w:ind w:left="720"/>
        <w:jc w:val="left"/>
        <w:rPr>
          <w:sz w:val="16"/>
        </w:rPr>
      </w:pPr>
      <w:r>
        <w:t xml:space="preserve">Where a tenant has transferred with FTA, and repayment of the FTA has not been made a condition of the current tenancy, they will still be responsible for repaying the debt </w:t>
      </w:r>
      <w:r w:rsidRPr="006D0198">
        <w:t xml:space="preserve">(including FTA’s relating to garages).   Landlord Services will notify the tenant and </w:t>
      </w:r>
      <w:proofErr w:type="gramStart"/>
      <w:r>
        <w:t>m</w:t>
      </w:r>
      <w:r w:rsidRPr="006D0198">
        <w:t>ake arrangements</w:t>
      </w:r>
      <w:proofErr w:type="gramEnd"/>
      <w:r w:rsidRPr="006D0198">
        <w:t xml:space="preserve"> with the tenant to set up a payment plan. </w:t>
      </w:r>
    </w:p>
    <w:p w14:paraId="77DD3E6B" w14:textId="72F36452" w:rsidR="00E61951" w:rsidRDefault="00E61951" w:rsidP="00E61951">
      <w:pPr>
        <w:pStyle w:val="BodyText"/>
        <w:numPr>
          <w:ilvl w:val="1"/>
          <w:numId w:val="1"/>
        </w:numPr>
        <w:jc w:val="left"/>
      </w:pPr>
      <w:r>
        <w:t>Any Credit on the tenants current rent account or sub-accounts will be used to offset any FTA.</w:t>
      </w:r>
    </w:p>
    <w:p w14:paraId="7DB083FB" w14:textId="77777777" w:rsidR="00E61951" w:rsidRPr="008528E9" w:rsidRDefault="00E61951" w:rsidP="00E61951">
      <w:pPr>
        <w:pStyle w:val="BodyText"/>
        <w:jc w:val="left"/>
        <w:rPr>
          <w:sz w:val="14"/>
        </w:rPr>
      </w:pPr>
    </w:p>
    <w:p w14:paraId="77C430C9" w14:textId="77777777" w:rsidR="00E61951" w:rsidRPr="00CF32E0" w:rsidRDefault="00E61951" w:rsidP="001B4DFB">
      <w:pPr>
        <w:pStyle w:val="Heading2"/>
      </w:pPr>
      <w:r w:rsidRPr="00CF32E0">
        <w:t>New Lettings</w:t>
      </w:r>
    </w:p>
    <w:p w14:paraId="3C9091EB" w14:textId="77777777" w:rsidR="00E61951" w:rsidRDefault="00E61951" w:rsidP="00E61951">
      <w:pPr>
        <w:pStyle w:val="BodyText"/>
        <w:numPr>
          <w:ilvl w:val="1"/>
          <w:numId w:val="1"/>
        </w:numPr>
        <w:jc w:val="left"/>
      </w:pPr>
      <w:r>
        <w:t xml:space="preserve">Housing Officers will follow the Rent Arrears Policy to </w:t>
      </w:r>
      <w:proofErr w:type="spellStart"/>
      <w:r>
        <w:t>minimise</w:t>
      </w:r>
      <w:proofErr w:type="spellEnd"/>
      <w:r>
        <w:t xml:space="preserve"> the </w:t>
      </w:r>
      <w:r w:rsidRPr="006D0198">
        <w:t xml:space="preserve">potential for </w:t>
      </w:r>
      <w:proofErr w:type="gramStart"/>
      <w:r w:rsidRPr="006D0198">
        <w:t>FTA’s</w:t>
      </w:r>
      <w:proofErr w:type="gramEnd"/>
      <w:r w:rsidRPr="006D0198">
        <w:t xml:space="preserve"> to accrue.</w:t>
      </w:r>
    </w:p>
    <w:p w14:paraId="113ACACD" w14:textId="77777777" w:rsidR="00E61951" w:rsidRPr="006D0198" w:rsidRDefault="00E61951" w:rsidP="00E61951">
      <w:pPr>
        <w:pStyle w:val="BodyText"/>
        <w:numPr>
          <w:ilvl w:val="1"/>
          <w:numId w:val="1"/>
        </w:numPr>
        <w:jc w:val="left"/>
      </w:pPr>
      <w:r w:rsidRPr="006D0198">
        <w:t>Landlord Services ask tenants to provide personal details and contact details of a relative or friend in order to trace FTA’s if they occur. Information is kept secure and used in compliance with GDPR 201</w:t>
      </w:r>
      <w:r>
        <w:t>8</w:t>
      </w:r>
      <w:r w:rsidRPr="006D0198">
        <w:t>.</w:t>
      </w:r>
    </w:p>
    <w:p w14:paraId="1782D991" w14:textId="77777777" w:rsidR="00E61951" w:rsidRPr="006D0198" w:rsidRDefault="00E61951" w:rsidP="00E61951">
      <w:pPr>
        <w:pStyle w:val="BodyText"/>
        <w:ind w:left="720"/>
        <w:jc w:val="left"/>
        <w:rPr>
          <w:b/>
        </w:rPr>
      </w:pPr>
    </w:p>
    <w:p w14:paraId="11E140E8" w14:textId="77777777" w:rsidR="00E61951" w:rsidRPr="00CF32E0" w:rsidRDefault="00E61951" w:rsidP="001B4DFB">
      <w:pPr>
        <w:pStyle w:val="Heading2"/>
      </w:pPr>
      <w:r w:rsidRPr="00CF32E0">
        <w:t xml:space="preserve">Tracing </w:t>
      </w:r>
      <w:r>
        <w:t>f</w:t>
      </w:r>
      <w:r w:rsidRPr="00CF32E0">
        <w:t xml:space="preserve">ormer </w:t>
      </w:r>
      <w:r>
        <w:t>t</w:t>
      </w:r>
      <w:r w:rsidRPr="00CF32E0">
        <w:t>enants</w:t>
      </w:r>
    </w:p>
    <w:p w14:paraId="0983C4B9" w14:textId="77777777" w:rsidR="00E61951" w:rsidRDefault="00E61951" w:rsidP="00E61951">
      <w:pPr>
        <w:pStyle w:val="BodyText"/>
        <w:numPr>
          <w:ilvl w:val="1"/>
          <w:numId w:val="1"/>
        </w:numPr>
        <w:jc w:val="left"/>
      </w:pPr>
      <w:r>
        <w:t>Tenants that end their tenancy by notice and have arrears on their account</w:t>
      </w:r>
      <w:r w:rsidRPr="002B211D">
        <w:t xml:space="preserve"> </w:t>
      </w:r>
      <w:r>
        <w:t>will be asked to agree a repayment plan within their termination document. Tenants must provide a forwarding address and contact details.</w:t>
      </w:r>
    </w:p>
    <w:p w14:paraId="1F1EA8C7" w14:textId="77777777" w:rsidR="00E61951" w:rsidRPr="008528E9" w:rsidRDefault="00E61951" w:rsidP="00E61951">
      <w:pPr>
        <w:pStyle w:val="BodyText"/>
        <w:ind w:left="720"/>
        <w:jc w:val="left"/>
        <w:rPr>
          <w:sz w:val="14"/>
        </w:rPr>
      </w:pPr>
    </w:p>
    <w:p w14:paraId="763D9D47" w14:textId="77777777" w:rsidR="00E61951" w:rsidRDefault="00E61951" w:rsidP="00E61951">
      <w:pPr>
        <w:pStyle w:val="BodyText"/>
        <w:numPr>
          <w:ilvl w:val="1"/>
          <w:numId w:val="1"/>
        </w:numPr>
        <w:jc w:val="left"/>
      </w:pPr>
      <w:r>
        <w:t>Landlord Services will aim to contact former tenants with debt within four weeks of them terminating their tenancy if they have not agreed a payment plan or made any repayments. This will be done in accordance with our FTA procedure.</w:t>
      </w:r>
    </w:p>
    <w:p w14:paraId="34C79578" w14:textId="77777777" w:rsidR="00E61951" w:rsidRPr="008528E9" w:rsidRDefault="00E61951" w:rsidP="00E61951">
      <w:pPr>
        <w:pStyle w:val="BodyText"/>
        <w:jc w:val="left"/>
        <w:rPr>
          <w:sz w:val="14"/>
        </w:rPr>
      </w:pPr>
    </w:p>
    <w:p w14:paraId="67BDECFD" w14:textId="77777777" w:rsidR="00E61951" w:rsidRDefault="00E61951" w:rsidP="001B4DFB">
      <w:pPr>
        <w:pStyle w:val="BodyText"/>
        <w:numPr>
          <w:ilvl w:val="1"/>
          <w:numId w:val="1"/>
        </w:numPr>
        <w:jc w:val="left"/>
      </w:pPr>
      <w:r>
        <w:t xml:space="preserve">Landlord Services will state in correspondence that if the reader is not the intended </w:t>
      </w:r>
      <w:proofErr w:type="gramStart"/>
      <w:r>
        <w:t>recipient</w:t>
      </w:r>
      <w:proofErr w:type="gramEnd"/>
      <w:r>
        <w:t xml:space="preserve"> they return the letter along with the address of the intended recipient if known.</w:t>
      </w:r>
    </w:p>
    <w:p w14:paraId="7C39A24A" w14:textId="77777777" w:rsidR="001B4DFB" w:rsidRPr="001B4DFB" w:rsidRDefault="001B4DFB" w:rsidP="001B4DFB">
      <w:pPr>
        <w:pStyle w:val="BodyText"/>
        <w:jc w:val="left"/>
      </w:pPr>
    </w:p>
    <w:p w14:paraId="4A13DECD" w14:textId="77777777" w:rsidR="00E61951" w:rsidRPr="001B4DFB" w:rsidRDefault="00E61951" w:rsidP="001B4DFB">
      <w:pPr>
        <w:pStyle w:val="Heading2"/>
      </w:pPr>
      <w:r w:rsidRPr="001B4DFB">
        <w:t>Recovery where an address is known</w:t>
      </w:r>
    </w:p>
    <w:p w14:paraId="77574A4B" w14:textId="77777777" w:rsidR="00E61951" w:rsidRDefault="00E61951" w:rsidP="001B4DFB">
      <w:pPr>
        <w:pStyle w:val="BodyText"/>
        <w:numPr>
          <w:ilvl w:val="1"/>
          <w:numId w:val="1"/>
        </w:numPr>
        <w:jc w:val="left"/>
      </w:pPr>
      <w:r>
        <w:t>The debtor will be able to pay the debt in full or set up a payment plan that is affordable and has a reasonable time scale.</w:t>
      </w:r>
    </w:p>
    <w:p w14:paraId="6ACA07B2" w14:textId="77777777" w:rsidR="001B4DFB" w:rsidRPr="001B4DFB" w:rsidRDefault="001B4DFB" w:rsidP="001B4DFB">
      <w:pPr>
        <w:pStyle w:val="BodyText"/>
        <w:jc w:val="left"/>
      </w:pPr>
    </w:p>
    <w:p w14:paraId="63961998" w14:textId="77777777" w:rsidR="00E61951" w:rsidRPr="00182E07" w:rsidRDefault="00E61951" w:rsidP="001B4DFB">
      <w:pPr>
        <w:pStyle w:val="Heading2"/>
      </w:pPr>
      <w:r w:rsidRPr="00CF32E0">
        <w:t xml:space="preserve">Recovery </w:t>
      </w:r>
      <w:r>
        <w:t>following the death of a tenant or a tenant moving into care</w:t>
      </w:r>
    </w:p>
    <w:p w14:paraId="1060C5A5" w14:textId="77777777" w:rsidR="00E61951" w:rsidRDefault="00E61951" w:rsidP="00E61951">
      <w:pPr>
        <w:pStyle w:val="BodyText"/>
        <w:numPr>
          <w:ilvl w:val="1"/>
          <w:numId w:val="1"/>
        </w:numPr>
        <w:jc w:val="left"/>
      </w:pPr>
      <w:r>
        <w:t xml:space="preserve">If the tenant has died or moved into care leaving an FTA the usual recovery procedures will apply, and officers will attempt to recover the debt from the estate or the from the </w:t>
      </w:r>
      <w:proofErr w:type="gramStart"/>
      <w:r>
        <w:t>tenants</w:t>
      </w:r>
      <w:proofErr w:type="gramEnd"/>
      <w:r>
        <w:t xml:space="preserve"> own finances. Housing Officers will take a sympathetic approach when contacting the next of kin or executors. </w:t>
      </w:r>
    </w:p>
    <w:p w14:paraId="6B8B1438" w14:textId="77777777" w:rsidR="00E61951" w:rsidRPr="00BD5A21" w:rsidRDefault="00E61951" w:rsidP="00E61951">
      <w:pPr>
        <w:pStyle w:val="BodyText"/>
        <w:ind w:left="720"/>
        <w:jc w:val="left"/>
        <w:rPr>
          <w:sz w:val="16"/>
        </w:rPr>
      </w:pPr>
    </w:p>
    <w:p w14:paraId="51939AE9" w14:textId="77777777" w:rsidR="00E61951" w:rsidRPr="00CF32E0" w:rsidRDefault="00E61951" w:rsidP="00E61951">
      <w:pPr>
        <w:pStyle w:val="BodyText"/>
        <w:numPr>
          <w:ilvl w:val="1"/>
          <w:numId w:val="1"/>
        </w:numPr>
        <w:jc w:val="left"/>
      </w:pPr>
      <w:r>
        <w:t>If the tenant has died and there is no known next of kin or estate, the debt will be written off.</w:t>
      </w:r>
    </w:p>
    <w:p w14:paraId="26AAAC25" w14:textId="77777777" w:rsidR="00E61951" w:rsidRPr="008528E9" w:rsidRDefault="00E61951" w:rsidP="00E61951">
      <w:pPr>
        <w:pStyle w:val="BodyText"/>
        <w:ind w:left="720"/>
        <w:jc w:val="left"/>
        <w:rPr>
          <w:sz w:val="14"/>
        </w:rPr>
      </w:pPr>
    </w:p>
    <w:p w14:paraId="7C9AD690" w14:textId="77777777" w:rsidR="00E61951" w:rsidRPr="00FB41F9" w:rsidRDefault="00E61951" w:rsidP="001B4DFB">
      <w:pPr>
        <w:pStyle w:val="Heading2"/>
      </w:pPr>
      <w:r w:rsidRPr="00FB41F9">
        <w:t>Enforcement</w:t>
      </w:r>
    </w:p>
    <w:p w14:paraId="5B264B52" w14:textId="77777777" w:rsidR="00E61951" w:rsidRDefault="00E61951" w:rsidP="00E61951">
      <w:pPr>
        <w:pStyle w:val="BodyText"/>
        <w:numPr>
          <w:ilvl w:val="1"/>
          <w:numId w:val="1"/>
        </w:numPr>
        <w:jc w:val="left"/>
      </w:pPr>
      <w:r>
        <w:t>Landlord Services will take enforcement action against former tenants in arrears that fail to repay the debt or adhere to a repayment plan.</w:t>
      </w:r>
    </w:p>
    <w:p w14:paraId="6724701D" w14:textId="77777777" w:rsidR="00E61951" w:rsidRPr="00BD5A21" w:rsidRDefault="00E61951" w:rsidP="00E61951">
      <w:pPr>
        <w:pStyle w:val="BodyText"/>
        <w:ind w:left="720"/>
        <w:jc w:val="left"/>
        <w:rPr>
          <w:sz w:val="16"/>
        </w:rPr>
      </w:pPr>
    </w:p>
    <w:p w14:paraId="7BEDF4E1" w14:textId="77777777" w:rsidR="00E61951" w:rsidRDefault="00E61951" w:rsidP="00E61951">
      <w:pPr>
        <w:pStyle w:val="BodyText"/>
        <w:numPr>
          <w:ilvl w:val="1"/>
          <w:numId w:val="1"/>
        </w:numPr>
        <w:jc w:val="left"/>
      </w:pPr>
      <w:r>
        <w:lastRenderedPageBreak/>
        <w:t>Landlord Services will use methods and processes in pursuit of FTA’s appropriate to the amount and age of the debt.</w:t>
      </w:r>
    </w:p>
    <w:p w14:paraId="72D84E9A" w14:textId="77777777" w:rsidR="00E61951" w:rsidRDefault="00E61951" w:rsidP="00E61951">
      <w:pPr>
        <w:pStyle w:val="ListParagraph"/>
        <w:rPr>
          <w:rFonts w:cs="Arial"/>
        </w:rPr>
      </w:pPr>
    </w:p>
    <w:p w14:paraId="6F4C5551" w14:textId="77777777" w:rsidR="00E61951" w:rsidRDefault="00E61951" w:rsidP="00E61951">
      <w:pPr>
        <w:pStyle w:val="BodyText"/>
        <w:numPr>
          <w:ilvl w:val="1"/>
          <w:numId w:val="1"/>
        </w:numPr>
        <w:jc w:val="left"/>
      </w:pPr>
      <w:r>
        <w:t xml:space="preserve">Landlord Services may refer debt to a collection agency. </w:t>
      </w:r>
    </w:p>
    <w:p w14:paraId="5E71E981" w14:textId="77777777" w:rsidR="00E61951" w:rsidRPr="00F8552D" w:rsidRDefault="00E61951" w:rsidP="00E61951">
      <w:pPr>
        <w:pStyle w:val="BodyText"/>
        <w:jc w:val="left"/>
      </w:pPr>
    </w:p>
    <w:p w14:paraId="5317D50D" w14:textId="77777777" w:rsidR="00E61951" w:rsidRPr="007E4117" w:rsidRDefault="00E61951" w:rsidP="00E61951">
      <w:pPr>
        <w:pStyle w:val="BodyText"/>
        <w:numPr>
          <w:ilvl w:val="1"/>
          <w:numId w:val="1"/>
        </w:numPr>
        <w:jc w:val="left"/>
      </w:pPr>
      <w:r>
        <w:t>Landlord</w:t>
      </w:r>
      <w:r w:rsidRPr="007E4117">
        <w:t xml:space="preserve"> Services must obtain a Money Judgement Order before any other court recovery action can be pursued.</w:t>
      </w:r>
    </w:p>
    <w:p w14:paraId="54552FBC" w14:textId="77777777" w:rsidR="00E61951" w:rsidRPr="007E4117" w:rsidRDefault="00E61951" w:rsidP="00E61951">
      <w:pPr>
        <w:pStyle w:val="BodyText"/>
        <w:numPr>
          <w:ilvl w:val="2"/>
          <w:numId w:val="1"/>
        </w:numPr>
        <w:jc w:val="left"/>
      </w:pPr>
      <w:r w:rsidRPr="007E4117">
        <w:t>A Money Judgement is valid for six years and can be enforced at any point throughout that period. Only the amount specified in the judgement</w:t>
      </w:r>
      <w:r>
        <w:t xml:space="preserve"> can</w:t>
      </w:r>
      <w:r w:rsidRPr="007E4117">
        <w:t xml:space="preserve"> be enforced.</w:t>
      </w:r>
    </w:p>
    <w:p w14:paraId="63151B3B" w14:textId="77777777" w:rsidR="00E61951" w:rsidRPr="008D5217" w:rsidRDefault="00E61951" w:rsidP="00E61951">
      <w:pPr>
        <w:pStyle w:val="BodyText"/>
        <w:ind w:left="720"/>
        <w:jc w:val="left"/>
        <w:rPr>
          <w:sz w:val="16"/>
        </w:rPr>
      </w:pPr>
    </w:p>
    <w:p w14:paraId="3BC2A1C4" w14:textId="77777777" w:rsidR="00E61951" w:rsidRDefault="00E61951" w:rsidP="00E61951">
      <w:pPr>
        <w:pStyle w:val="BodyText"/>
        <w:numPr>
          <w:ilvl w:val="1"/>
          <w:numId w:val="1"/>
        </w:numPr>
        <w:jc w:val="left"/>
      </w:pPr>
      <w:r>
        <w:t xml:space="preserve">Landlord Services will refer a case back to court for a warrant ordering payment if the debtor does not </w:t>
      </w:r>
      <w:proofErr w:type="spellStart"/>
      <w:r>
        <w:t>honour</w:t>
      </w:r>
      <w:proofErr w:type="spellEnd"/>
      <w:r>
        <w:t xml:space="preserve"> the conditions</w:t>
      </w:r>
      <w:r w:rsidRPr="005F65EF">
        <w:t xml:space="preserve"> </w:t>
      </w:r>
      <w:r>
        <w:t>of a County Court Judgement (Money Judgement) Order.</w:t>
      </w:r>
    </w:p>
    <w:p w14:paraId="34C4B54B" w14:textId="77777777" w:rsidR="00E61951" w:rsidRPr="008528E9" w:rsidRDefault="00E61951" w:rsidP="00E61951">
      <w:pPr>
        <w:pStyle w:val="ListParagraph"/>
        <w:rPr>
          <w:rFonts w:cs="Arial"/>
          <w:sz w:val="14"/>
        </w:rPr>
      </w:pPr>
    </w:p>
    <w:p w14:paraId="796BD6F5" w14:textId="77777777" w:rsidR="00E61951" w:rsidRPr="00CF32E0" w:rsidRDefault="00E61951" w:rsidP="00E61951">
      <w:pPr>
        <w:pStyle w:val="BodyText"/>
        <w:numPr>
          <w:ilvl w:val="1"/>
          <w:numId w:val="1"/>
        </w:numPr>
        <w:jc w:val="left"/>
      </w:pPr>
      <w:r w:rsidRPr="00CF32E0">
        <w:t xml:space="preserve">The extent and length of time to </w:t>
      </w:r>
      <w:r>
        <w:t xml:space="preserve">which a debt is pursued will </w:t>
      </w:r>
      <w:r w:rsidRPr="00CF32E0">
        <w:t>depend</w:t>
      </w:r>
      <w:r>
        <w:t xml:space="preserve"> </w:t>
      </w:r>
      <w:r w:rsidRPr="00CF32E0">
        <w:t>on the level of the debt compared to the cost of recovery.</w:t>
      </w:r>
    </w:p>
    <w:p w14:paraId="3922779B" w14:textId="77777777" w:rsidR="00E61951" w:rsidRPr="0053727F" w:rsidRDefault="00E61951" w:rsidP="00E61951">
      <w:pPr>
        <w:pStyle w:val="BodyText"/>
        <w:jc w:val="left"/>
        <w:rPr>
          <w:sz w:val="12"/>
        </w:rPr>
      </w:pPr>
    </w:p>
    <w:p w14:paraId="7A533FDC" w14:textId="77777777" w:rsidR="00E61951" w:rsidRPr="00CF32E0" w:rsidRDefault="00E61951" w:rsidP="001B4DFB">
      <w:pPr>
        <w:pStyle w:val="Heading2"/>
      </w:pPr>
      <w:r w:rsidRPr="00CF32E0">
        <w:t>Write Offs</w:t>
      </w:r>
    </w:p>
    <w:p w14:paraId="66C5D0DB" w14:textId="5156EB12" w:rsidR="00E61951" w:rsidRDefault="00E61951" w:rsidP="00E61951">
      <w:pPr>
        <w:pStyle w:val="BodyText"/>
        <w:numPr>
          <w:ilvl w:val="1"/>
          <w:numId w:val="1"/>
        </w:numPr>
        <w:jc w:val="left"/>
      </w:pPr>
      <w:r>
        <w:t xml:space="preserve">Landlord Services will refer debt to senior officers for ‘write off’ where efforts to trace the debtor have failed, the FTA is not economically worthwhile to pursue, or other circumstances indicate that the chances of recovery are small.  Examples of this are debts that have arisen due to domestic abuse, poor health or long-term </w:t>
      </w:r>
      <w:r w:rsidR="008F26B4">
        <w:t>imprisonment.</w:t>
      </w:r>
    </w:p>
    <w:p w14:paraId="4DEA5E2A" w14:textId="77777777" w:rsidR="00E61951" w:rsidRPr="008528E9" w:rsidRDefault="00E61951" w:rsidP="00E61951">
      <w:pPr>
        <w:pStyle w:val="BodyText"/>
        <w:ind w:left="720"/>
        <w:jc w:val="left"/>
        <w:rPr>
          <w:sz w:val="14"/>
        </w:rPr>
      </w:pPr>
    </w:p>
    <w:p w14:paraId="332B4DB8" w14:textId="77777777" w:rsidR="00E61951" w:rsidRPr="008528E9" w:rsidRDefault="00E61951" w:rsidP="00E61951">
      <w:pPr>
        <w:pStyle w:val="BodyText"/>
        <w:ind w:left="720"/>
        <w:jc w:val="left"/>
        <w:rPr>
          <w:sz w:val="14"/>
        </w:rPr>
      </w:pPr>
    </w:p>
    <w:p w14:paraId="1F516B3B" w14:textId="77777777" w:rsidR="00E61951" w:rsidRPr="00CF32E0" w:rsidRDefault="00E61951" w:rsidP="00E61951">
      <w:pPr>
        <w:pStyle w:val="BodyText"/>
        <w:numPr>
          <w:ilvl w:val="1"/>
          <w:numId w:val="1"/>
        </w:numPr>
        <w:jc w:val="left"/>
      </w:pPr>
      <w:r>
        <w:t>If the tenant has died and there is no known next of kin or estate, the debt will be written off.</w:t>
      </w:r>
    </w:p>
    <w:p w14:paraId="118B72AE" w14:textId="77777777" w:rsidR="00E61951" w:rsidRPr="008528E9" w:rsidRDefault="00E61951" w:rsidP="00E61951">
      <w:pPr>
        <w:pStyle w:val="BodyText"/>
        <w:ind w:left="720"/>
        <w:jc w:val="left"/>
        <w:rPr>
          <w:sz w:val="14"/>
        </w:rPr>
      </w:pPr>
    </w:p>
    <w:p w14:paraId="2DBB3230" w14:textId="77777777" w:rsidR="00E61951" w:rsidRPr="005A1BBA" w:rsidRDefault="00E61951" w:rsidP="00E61951">
      <w:pPr>
        <w:pStyle w:val="BodyText"/>
        <w:numPr>
          <w:ilvl w:val="1"/>
          <w:numId w:val="1"/>
        </w:numPr>
        <w:jc w:val="left"/>
        <w:rPr>
          <w:bCs/>
        </w:rPr>
      </w:pPr>
      <w:r w:rsidRPr="00CF32E0">
        <w:t xml:space="preserve">If </w:t>
      </w:r>
      <w:r>
        <w:t>Landlord</w:t>
      </w:r>
      <w:r w:rsidRPr="00482558">
        <w:t xml:space="preserve"> Services</w:t>
      </w:r>
      <w:r w:rsidRPr="00CF32E0">
        <w:t xml:space="preserve"> ha</w:t>
      </w:r>
      <w:r>
        <w:t>s</w:t>
      </w:r>
      <w:r w:rsidRPr="00CF32E0">
        <w:t xml:space="preserve"> not contacted a debtor for a period of six </w:t>
      </w:r>
      <w:proofErr w:type="gramStart"/>
      <w:r w:rsidRPr="00CF32E0">
        <w:t>years</w:t>
      </w:r>
      <w:proofErr w:type="gramEnd"/>
      <w:r w:rsidRPr="00CF32E0">
        <w:t xml:space="preserve"> the debt will be considered Statute Barred and written off </w:t>
      </w:r>
      <w:r>
        <w:t xml:space="preserve">in accord with The Limitations Act 1980. </w:t>
      </w:r>
    </w:p>
    <w:p w14:paraId="01811F07" w14:textId="77777777" w:rsidR="00AA150F" w:rsidRDefault="00AA150F" w:rsidP="00AA150F">
      <w:pPr>
        <w:pStyle w:val="Heading1"/>
        <w:numPr>
          <w:ilvl w:val="0"/>
          <w:numId w:val="1"/>
        </w:numPr>
      </w:pPr>
      <w:r>
        <w:t>Role, responsibilities and authority</w:t>
      </w:r>
    </w:p>
    <w:p w14:paraId="518FFCE0" w14:textId="77777777" w:rsidR="001B4DFB" w:rsidRPr="00CF32E0" w:rsidRDefault="001B4DFB" w:rsidP="001B4DFB">
      <w:pPr>
        <w:pStyle w:val="BodyText"/>
        <w:numPr>
          <w:ilvl w:val="1"/>
          <w:numId w:val="1"/>
        </w:numPr>
        <w:jc w:val="left"/>
      </w:pPr>
      <w:r w:rsidRPr="00CF32E0">
        <w:t>The Assistant Director of Physical and Cultural Regeneration</w:t>
      </w:r>
      <w:r>
        <w:t xml:space="preserve"> </w:t>
      </w:r>
      <w:r w:rsidRPr="00CF32E0">
        <w:t>retain</w:t>
      </w:r>
      <w:r>
        <w:t>s</w:t>
      </w:r>
      <w:r w:rsidRPr="00CF32E0">
        <w:t xml:space="preserve"> the</w:t>
      </w:r>
      <w:r>
        <w:t xml:space="preserve"> overall responsibility for </w:t>
      </w:r>
      <w:r w:rsidRPr="00CF32E0">
        <w:t>implement</w:t>
      </w:r>
      <w:r>
        <w:t xml:space="preserve">ing </w:t>
      </w:r>
      <w:r w:rsidRPr="00CF32E0">
        <w:t>this policy.</w:t>
      </w:r>
    </w:p>
    <w:p w14:paraId="1BE4F319" w14:textId="77777777" w:rsidR="001B4DFB" w:rsidRPr="0053727F" w:rsidRDefault="001B4DFB" w:rsidP="001B4DFB">
      <w:pPr>
        <w:pStyle w:val="BodyText"/>
        <w:ind w:left="720"/>
        <w:jc w:val="left"/>
        <w:rPr>
          <w:sz w:val="12"/>
        </w:rPr>
      </w:pPr>
    </w:p>
    <w:p w14:paraId="394EBD3B" w14:textId="37623B36" w:rsidR="00CB11CD" w:rsidRPr="00CB11CD" w:rsidRDefault="001B4DFB" w:rsidP="00CB11CD">
      <w:pPr>
        <w:pStyle w:val="BodyText"/>
        <w:numPr>
          <w:ilvl w:val="1"/>
          <w:numId w:val="1"/>
        </w:numPr>
        <w:jc w:val="left"/>
      </w:pPr>
      <w:r w:rsidRPr="00CF32E0">
        <w:t>The</w:t>
      </w:r>
      <w:r>
        <w:t xml:space="preserve"> Head of </w:t>
      </w:r>
      <w:r w:rsidR="008F26B4">
        <w:t xml:space="preserve">Tenant Services </w:t>
      </w:r>
      <w:r w:rsidRPr="00CF32E0">
        <w:t xml:space="preserve">is responsible for the operational </w:t>
      </w:r>
      <w:r>
        <w:t xml:space="preserve">delivery of this policy, </w:t>
      </w:r>
      <w:r w:rsidRPr="00CF32E0">
        <w:t>associated procedures</w:t>
      </w:r>
      <w:r>
        <w:t xml:space="preserve"> </w:t>
      </w:r>
      <w:r w:rsidRPr="00CF32E0">
        <w:t xml:space="preserve">and ensuring compliance with </w:t>
      </w:r>
      <w:r>
        <w:t>r</w:t>
      </w:r>
      <w:r w:rsidRPr="00CF32E0">
        <w:t xml:space="preserve">egulatory and </w:t>
      </w:r>
      <w:r>
        <w:t>l</w:t>
      </w:r>
      <w:r w:rsidRPr="00CF32E0">
        <w:t>egislative requirements.</w:t>
      </w:r>
    </w:p>
    <w:p w14:paraId="1CBE4E49" w14:textId="77777777" w:rsidR="00AA150F" w:rsidRDefault="00AA150F" w:rsidP="00AA150F">
      <w:pPr>
        <w:pStyle w:val="Heading1"/>
        <w:numPr>
          <w:ilvl w:val="0"/>
          <w:numId w:val="1"/>
        </w:numPr>
      </w:pPr>
      <w:r>
        <w:t>Monitoring, review and evaluation</w:t>
      </w:r>
    </w:p>
    <w:p w14:paraId="4BCE15CB" w14:textId="77777777" w:rsidR="001B4DFB" w:rsidRDefault="001B4DFB" w:rsidP="001B4DFB">
      <w:pPr>
        <w:pStyle w:val="BodyText"/>
        <w:numPr>
          <w:ilvl w:val="1"/>
          <w:numId w:val="1"/>
        </w:numPr>
        <w:jc w:val="left"/>
      </w:pPr>
      <w:r>
        <w:t>The Income Manager will monitor FTA cases with reference to the amount of debt and that procedure is followed.</w:t>
      </w:r>
    </w:p>
    <w:p w14:paraId="3C26ED54" w14:textId="77777777" w:rsidR="001B4DFB" w:rsidRPr="008D5217" w:rsidRDefault="001B4DFB" w:rsidP="001B4DFB">
      <w:pPr>
        <w:pStyle w:val="BodyText"/>
        <w:ind w:left="720"/>
        <w:jc w:val="left"/>
        <w:rPr>
          <w:sz w:val="14"/>
        </w:rPr>
      </w:pPr>
    </w:p>
    <w:p w14:paraId="3C6B8E86" w14:textId="77777777" w:rsidR="001B4DFB" w:rsidRDefault="001B4DFB" w:rsidP="001B4DFB">
      <w:pPr>
        <w:pStyle w:val="BodyText"/>
        <w:numPr>
          <w:ilvl w:val="1"/>
          <w:numId w:val="1"/>
        </w:numPr>
        <w:jc w:val="left"/>
      </w:pPr>
      <w:r w:rsidRPr="00B87E45">
        <w:t xml:space="preserve">This policy will be reviewed </w:t>
      </w:r>
      <w:r>
        <w:t>every two years</w:t>
      </w:r>
      <w:r w:rsidRPr="00B87E45">
        <w:t xml:space="preserve"> or in line with legislative or regulatory changes. </w:t>
      </w:r>
    </w:p>
    <w:p w14:paraId="054790D0" w14:textId="77777777" w:rsidR="00CB11CD" w:rsidRDefault="00CB11CD" w:rsidP="00AA150F">
      <w:pPr>
        <w:rPr>
          <w:rFonts w:ascii="Arial" w:eastAsia="Times New Roman" w:hAnsi="Arial" w:cs="Arial"/>
          <w:sz w:val="24"/>
          <w:szCs w:val="24"/>
        </w:rPr>
      </w:pPr>
    </w:p>
    <w:p w14:paraId="258B1EC8" w14:textId="0353F806" w:rsidR="00AA150F" w:rsidRDefault="001B4DFB" w:rsidP="00AA150F">
      <w:r>
        <w:t>This version published: Ma</w:t>
      </w:r>
      <w:r w:rsidR="00CC06F3">
        <w:t>rch 2025</w:t>
      </w:r>
    </w:p>
    <w:p w14:paraId="6528A05E" w14:textId="115013DF" w:rsidR="00AA150F" w:rsidRPr="00AA150F" w:rsidRDefault="001B4DFB" w:rsidP="00AA150F">
      <w:r>
        <w:t xml:space="preserve">Next review due: </w:t>
      </w:r>
      <w:r w:rsidR="00CC06F3">
        <w:t>March 2027</w:t>
      </w:r>
    </w:p>
    <w:sectPr w:rsidR="00AA150F" w:rsidRPr="00AA150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5B080" w14:textId="77777777" w:rsidR="009E39F4" w:rsidRDefault="009E39F4" w:rsidP="004B135C">
      <w:pPr>
        <w:spacing w:after="0" w:line="240" w:lineRule="auto"/>
      </w:pPr>
      <w:r>
        <w:separator/>
      </w:r>
    </w:p>
  </w:endnote>
  <w:endnote w:type="continuationSeparator" w:id="0">
    <w:p w14:paraId="50C557DC" w14:textId="77777777" w:rsidR="009E39F4" w:rsidRDefault="009E39F4" w:rsidP="004B1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1052975"/>
      <w:docPartObj>
        <w:docPartGallery w:val="Page Numbers (Bottom of Page)"/>
        <w:docPartUnique/>
      </w:docPartObj>
    </w:sdtPr>
    <w:sdtContent>
      <w:sdt>
        <w:sdtPr>
          <w:id w:val="1728636285"/>
          <w:docPartObj>
            <w:docPartGallery w:val="Page Numbers (Top of Page)"/>
            <w:docPartUnique/>
          </w:docPartObj>
        </w:sdtPr>
        <w:sdtContent>
          <w:p w14:paraId="68DB5C89" w14:textId="77777777" w:rsidR="00FC05C0" w:rsidRDefault="00FC05C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B4DFB">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B4DFB">
              <w:rPr>
                <w:b/>
                <w:bCs/>
                <w:noProof/>
              </w:rPr>
              <w:t>3</w:t>
            </w:r>
            <w:r>
              <w:rPr>
                <w:b/>
                <w:bCs/>
                <w:sz w:val="24"/>
                <w:szCs w:val="24"/>
              </w:rPr>
              <w:fldChar w:fldCharType="end"/>
            </w:r>
          </w:p>
        </w:sdtContent>
      </w:sdt>
    </w:sdtContent>
  </w:sdt>
  <w:p w14:paraId="4279E762" w14:textId="77777777" w:rsidR="008B0E10" w:rsidRDefault="008B0E10" w:rsidP="008B0E1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5260A" w14:textId="77777777" w:rsidR="009E39F4" w:rsidRDefault="009E39F4" w:rsidP="004B135C">
      <w:pPr>
        <w:spacing w:after="0" w:line="240" w:lineRule="auto"/>
      </w:pPr>
      <w:r>
        <w:separator/>
      </w:r>
    </w:p>
  </w:footnote>
  <w:footnote w:type="continuationSeparator" w:id="0">
    <w:p w14:paraId="3DB595AA" w14:textId="77777777" w:rsidR="009E39F4" w:rsidRDefault="009E39F4" w:rsidP="004B13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Subject"/>
      <w:tag w:val=""/>
      <w:id w:val="769897928"/>
      <w:placeholder>
        <w:docPart w:val="891472CF7EDA41EF8BBA19A4DD782D9D"/>
      </w:placeholder>
      <w:dataBinding w:prefixMappings="xmlns:ns0='http://purl.org/dc/elements/1.1/' xmlns:ns1='http://schemas.openxmlformats.org/package/2006/metadata/core-properties' " w:xpath="/ns1:coreProperties[1]/ns0:subject[1]" w:storeItemID="{6C3C8BC8-F283-45AE-878A-BAB7291924A1}"/>
      <w:text/>
    </w:sdtPr>
    <w:sdtContent>
      <w:p w14:paraId="45DEB059" w14:textId="77777777" w:rsidR="00FC05C0" w:rsidRDefault="00A36E66" w:rsidP="00FC05C0">
        <w:pPr>
          <w:pStyle w:val="Header"/>
          <w:jc w:val="right"/>
        </w:pPr>
        <w:r>
          <w:t>Housing Policy</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7415F"/>
    <w:multiLevelType w:val="multilevel"/>
    <w:tmpl w:val="1402F1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B281638"/>
    <w:multiLevelType w:val="multilevel"/>
    <w:tmpl w:val="10E6BBF6"/>
    <w:lvl w:ilvl="0">
      <w:start w:val="4"/>
      <w:numFmt w:val="decimal"/>
      <w:lvlText w:val="%1"/>
      <w:lvlJc w:val="left"/>
      <w:pPr>
        <w:ind w:left="525" w:hanging="525"/>
      </w:pPr>
      <w:rPr>
        <w:rFonts w:hint="default"/>
        <w:color w:val="000000"/>
      </w:rPr>
    </w:lvl>
    <w:lvl w:ilvl="1">
      <w:start w:val="1"/>
      <w:numFmt w:val="decimal"/>
      <w:lvlText w:val="%1.%2"/>
      <w:lvlJc w:val="left"/>
      <w:pPr>
        <w:ind w:left="1065" w:hanging="525"/>
      </w:pPr>
      <w:rPr>
        <w:rFonts w:hint="default"/>
        <w:color w:val="000000"/>
      </w:rPr>
    </w:lvl>
    <w:lvl w:ilvl="2">
      <w:start w:val="1"/>
      <w:numFmt w:val="decimal"/>
      <w:lvlText w:val="%1.%2.%3"/>
      <w:lvlJc w:val="left"/>
      <w:pPr>
        <w:ind w:left="1800" w:hanging="720"/>
      </w:pPr>
      <w:rPr>
        <w:rFonts w:hint="default"/>
        <w:color w:val="000000"/>
      </w:rPr>
    </w:lvl>
    <w:lvl w:ilvl="3">
      <w:start w:val="1"/>
      <w:numFmt w:val="decimal"/>
      <w:lvlText w:val="%1.%2.%3.%4"/>
      <w:lvlJc w:val="left"/>
      <w:pPr>
        <w:ind w:left="2700" w:hanging="1080"/>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4140" w:hanging="144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580" w:hanging="1800"/>
      </w:pPr>
      <w:rPr>
        <w:rFonts w:hint="default"/>
        <w:color w:val="000000"/>
      </w:rPr>
    </w:lvl>
    <w:lvl w:ilvl="8">
      <w:start w:val="1"/>
      <w:numFmt w:val="decimal"/>
      <w:lvlText w:val="%1.%2.%3.%4.%5.%6.%7.%8.%9"/>
      <w:lvlJc w:val="left"/>
      <w:pPr>
        <w:ind w:left="6120" w:hanging="1800"/>
      </w:pPr>
      <w:rPr>
        <w:rFonts w:hint="default"/>
        <w:color w:val="000000"/>
      </w:rPr>
    </w:lvl>
  </w:abstractNum>
  <w:abstractNum w:abstractNumId="2" w15:restartNumberingAfterBreak="0">
    <w:nsid w:val="386255B1"/>
    <w:multiLevelType w:val="multilevel"/>
    <w:tmpl w:val="52A8709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567D36A8"/>
    <w:multiLevelType w:val="multilevel"/>
    <w:tmpl w:val="723AB614"/>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63A3296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296523180">
    <w:abstractNumId w:val="0"/>
  </w:num>
  <w:num w:numId="2" w16cid:durableId="956764794">
    <w:abstractNumId w:val="1"/>
  </w:num>
  <w:num w:numId="3" w16cid:durableId="902177521">
    <w:abstractNumId w:val="2"/>
  </w:num>
  <w:num w:numId="4" w16cid:durableId="2023900263">
    <w:abstractNumId w:val="4"/>
  </w:num>
  <w:num w:numId="5" w16cid:durableId="2981456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35C"/>
    <w:rsid w:val="00000770"/>
    <w:rsid w:val="00046942"/>
    <w:rsid w:val="00072269"/>
    <w:rsid w:val="00072657"/>
    <w:rsid w:val="00084068"/>
    <w:rsid w:val="001B4DFB"/>
    <w:rsid w:val="002E1B82"/>
    <w:rsid w:val="002F0FCD"/>
    <w:rsid w:val="00337996"/>
    <w:rsid w:val="0039161F"/>
    <w:rsid w:val="004B135C"/>
    <w:rsid w:val="004E1AEF"/>
    <w:rsid w:val="00612008"/>
    <w:rsid w:val="007062ED"/>
    <w:rsid w:val="007C647F"/>
    <w:rsid w:val="007D22A0"/>
    <w:rsid w:val="00835EB0"/>
    <w:rsid w:val="00850BDE"/>
    <w:rsid w:val="00876CAA"/>
    <w:rsid w:val="008B0E10"/>
    <w:rsid w:val="008F26B4"/>
    <w:rsid w:val="00906BE9"/>
    <w:rsid w:val="009E39F4"/>
    <w:rsid w:val="00A36E66"/>
    <w:rsid w:val="00AA150F"/>
    <w:rsid w:val="00C80CEB"/>
    <w:rsid w:val="00CB11CD"/>
    <w:rsid w:val="00CC06F3"/>
    <w:rsid w:val="00D01544"/>
    <w:rsid w:val="00E61951"/>
    <w:rsid w:val="00F839FC"/>
    <w:rsid w:val="00FC05C0"/>
    <w:rsid w:val="00FE1C69"/>
    <w:rsid w:val="00FE3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055FD"/>
  <w15:chartTrackingRefBased/>
  <w15:docId w15:val="{57323E86-75E2-4205-AEA6-B0385AFF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0E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B4DF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E10"/>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8B0E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0E10"/>
  </w:style>
  <w:style w:type="paragraph" w:styleId="Footer">
    <w:name w:val="footer"/>
    <w:basedOn w:val="Normal"/>
    <w:link w:val="FooterChar"/>
    <w:uiPriority w:val="99"/>
    <w:unhideWhenUsed/>
    <w:rsid w:val="008B0E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0E10"/>
  </w:style>
  <w:style w:type="paragraph" w:styleId="Title">
    <w:name w:val="Title"/>
    <w:basedOn w:val="Normal"/>
    <w:next w:val="Normal"/>
    <w:link w:val="TitleChar"/>
    <w:uiPriority w:val="10"/>
    <w:qFormat/>
    <w:rsid w:val="00AA150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150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AA150F"/>
    <w:pPr>
      <w:ind w:left="720"/>
      <w:contextualSpacing/>
    </w:pPr>
  </w:style>
  <w:style w:type="paragraph" w:styleId="BodyText">
    <w:name w:val="Body Text"/>
    <w:basedOn w:val="Normal"/>
    <w:link w:val="BodyTextChar"/>
    <w:semiHidden/>
    <w:rsid w:val="00CB11CD"/>
    <w:pPr>
      <w:spacing w:after="0" w:line="240" w:lineRule="auto"/>
      <w:jc w:val="both"/>
    </w:pPr>
    <w:rPr>
      <w:rFonts w:ascii="Arial" w:eastAsia="Times New Roman" w:hAnsi="Arial" w:cs="Arial"/>
      <w:sz w:val="24"/>
      <w:szCs w:val="24"/>
      <w:lang w:val="en-US"/>
    </w:rPr>
  </w:style>
  <w:style w:type="character" w:customStyle="1" w:styleId="BodyTextChar">
    <w:name w:val="Body Text Char"/>
    <w:basedOn w:val="DefaultParagraphFont"/>
    <w:link w:val="BodyText"/>
    <w:semiHidden/>
    <w:rsid w:val="00CB11CD"/>
    <w:rPr>
      <w:rFonts w:ascii="Arial" w:eastAsia="Times New Roman" w:hAnsi="Arial" w:cs="Arial"/>
      <w:sz w:val="24"/>
      <w:szCs w:val="24"/>
      <w:lang w:val="en-US"/>
    </w:rPr>
  </w:style>
  <w:style w:type="character" w:styleId="PlaceholderText">
    <w:name w:val="Placeholder Text"/>
    <w:basedOn w:val="DefaultParagraphFont"/>
    <w:uiPriority w:val="99"/>
    <w:semiHidden/>
    <w:rsid w:val="00835EB0"/>
    <w:rPr>
      <w:color w:val="808080"/>
    </w:rPr>
  </w:style>
  <w:style w:type="character" w:customStyle="1" w:styleId="Heading2Char">
    <w:name w:val="Heading 2 Char"/>
    <w:basedOn w:val="DefaultParagraphFont"/>
    <w:link w:val="Heading2"/>
    <w:uiPriority w:val="9"/>
    <w:rsid w:val="001B4DF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91472CF7EDA41EF8BBA19A4DD782D9D"/>
        <w:category>
          <w:name w:val="General"/>
          <w:gallery w:val="placeholder"/>
        </w:category>
        <w:types>
          <w:type w:val="bbPlcHdr"/>
        </w:types>
        <w:behaviors>
          <w:behavior w:val="content"/>
        </w:behaviors>
        <w:guid w:val="{9DDC7EC9-D85C-4614-A769-A013B01B181F}"/>
      </w:docPartPr>
      <w:docPartBody>
        <w:p w:rsidR="001C7C43" w:rsidRDefault="00605B72">
          <w:r w:rsidRPr="00AF407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732"/>
    <w:rsid w:val="001C7C43"/>
    <w:rsid w:val="003C273C"/>
    <w:rsid w:val="00605B72"/>
    <w:rsid w:val="007C647F"/>
    <w:rsid w:val="007D22A0"/>
    <w:rsid w:val="008C692B"/>
    <w:rsid w:val="00AD3732"/>
    <w:rsid w:val="00F839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73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5B7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2</TotalTime>
  <Pages>3</Pages>
  <Words>867</Words>
  <Characters>4946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Housingolicy</vt:lpstr>
    </vt:vector>
  </TitlesOfParts>
  <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Housingolicy</dc:title>
  <dc:subject>Housing Policy</dc:subject>
  <dc:creator>sims, aisling</dc:creator>
  <cp:keywords>Housing policy</cp:keywords>
  <dc:description/>
  <cp:lastModifiedBy>cadwallader, amie</cp:lastModifiedBy>
  <cp:revision>3</cp:revision>
  <cp:lastPrinted>2023-05-11T00:09:00Z</cp:lastPrinted>
  <dcterms:created xsi:type="dcterms:W3CDTF">2025-03-14T17:15:00Z</dcterms:created>
  <dcterms:modified xsi:type="dcterms:W3CDTF">2025-03-17T08:31:00Z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